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CCCFA" w14:textId="1BE9F70B" w:rsidR="009C25CF" w:rsidRDefault="0070761C">
      <w:pPr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 xml:space="preserve">                          </w:t>
      </w:r>
      <w:r w:rsidR="008C66B8">
        <w:rPr>
          <w:rFonts w:ascii="Sylfaen" w:hAnsi="Sylfaen"/>
          <w:sz w:val="24"/>
          <w:szCs w:val="24"/>
          <w:lang w:val="hy-AM"/>
        </w:rPr>
        <w:t xml:space="preserve">                        </w:t>
      </w:r>
      <w:r w:rsidRPr="0070761C">
        <w:rPr>
          <w:rFonts w:ascii="Sylfaen" w:hAnsi="Sylfaen"/>
          <w:sz w:val="24"/>
          <w:szCs w:val="24"/>
          <w:lang w:val="hy-AM"/>
        </w:rPr>
        <w:t>ՏՈՏԱԼ ԷՆԴՈՊՐՈՏԵԶԻ ՀԱՎԱՔԱԾՈՒ</w:t>
      </w:r>
    </w:p>
    <w:p w14:paraId="4647FB40" w14:textId="77777777" w:rsidR="0070761C" w:rsidRPr="0070761C" w:rsidRDefault="0070761C">
      <w:pPr>
        <w:rPr>
          <w:rFonts w:ascii="Sylfaen" w:hAnsi="Sylfaen"/>
          <w:sz w:val="24"/>
          <w:szCs w:val="24"/>
          <w:lang w:val="hy-AM"/>
        </w:rPr>
      </w:pPr>
    </w:p>
    <w:tbl>
      <w:tblPr>
        <w:tblStyle w:val="TableGrid"/>
        <w:tblW w:w="14940" w:type="dxa"/>
        <w:tblInd w:w="-4325" w:type="dxa"/>
        <w:tblLook w:val="04A0" w:firstRow="1" w:lastRow="0" w:firstColumn="1" w:lastColumn="0" w:noHBand="0" w:noVBand="1"/>
      </w:tblPr>
      <w:tblGrid>
        <w:gridCol w:w="3387"/>
        <w:gridCol w:w="1923"/>
        <w:gridCol w:w="2250"/>
        <w:gridCol w:w="5130"/>
        <w:gridCol w:w="1143"/>
        <w:gridCol w:w="1107"/>
      </w:tblGrid>
      <w:tr w:rsidR="0070761C" w14:paraId="679D3DD9" w14:textId="77777777" w:rsidTr="00283023">
        <w:tc>
          <w:tcPr>
            <w:tcW w:w="3387" w:type="dxa"/>
          </w:tcPr>
          <w:p w14:paraId="5230F38E" w14:textId="1F584BAE" w:rsidR="0070761C" w:rsidRDefault="00D8300F">
            <w:pPr>
              <w:rPr>
                <w:lang w:val="hy-AM"/>
              </w:rPr>
            </w:pPr>
            <w:r>
              <w:rPr>
                <w:lang w:val="hy-AM"/>
              </w:rPr>
              <w:t>հհհհհ</w:t>
            </w:r>
          </w:p>
        </w:tc>
        <w:tc>
          <w:tcPr>
            <w:tcW w:w="1923" w:type="dxa"/>
          </w:tcPr>
          <w:p w14:paraId="3AFC5E89" w14:textId="39824350" w:rsidR="0070761C" w:rsidRPr="009F1A9D" w:rsidRDefault="00D8300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F1A9D">
              <w:rPr>
                <w:rFonts w:ascii="Sylfaen" w:hAnsi="Sylfaen"/>
                <w:sz w:val="20"/>
                <w:szCs w:val="20"/>
                <w:lang w:val="hy-AM"/>
              </w:rPr>
              <w:t xml:space="preserve">Անվանում </w:t>
            </w:r>
          </w:p>
        </w:tc>
        <w:tc>
          <w:tcPr>
            <w:tcW w:w="2250" w:type="dxa"/>
          </w:tcPr>
          <w:p w14:paraId="7EC38056" w14:textId="77777777" w:rsidR="0070761C" w:rsidRPr="009F1A9D" w:rsidRDefault="0070761C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5130" w:type="dxa"/>
          </w:tcPr>
          <w:p w14:paraId="2D1F69E4" w14:textId="603816B6" w:rsidR="0070761C" w:rsidRPr="009F1A9D" w:rsidRDefault="0070761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F1A9D">
              <w:rPr>
                <w:rFonts w:ascii="Sylfaen" w:hAnsi="Sylfaen"/>
                <w:sz w:val="20"/>
                <w:szCs w:val="20"/>
                <w:lang w:val="hy-AM"/>
              </w:rPr>
              <w:t>Տեխբնութագիր</w:t>
            </w:r>
          </w:p>
        </w:tc>
        <w:tc>
          <w:tcPr>
            <w:tcW w:w="1143" w:type="dxa"/>
          </w:tcPr>
          <w:p w14:paraId="3D42AAFE" w14:textId="3D4A402B" w:rsidR="0070761C" w:rsidRPr="009F1A9D" w:rsidRDefault="0070761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F1A9D">
              <w:rPr>
                <w:rFonts w:ascii="Sylfaen" w:hAnsi="Sylfaen"/>
                <w:sz w:val="20"/>
                <w:szCs w:val="20"/>
                <w:lang w:val="hy-AM"/>
              </w:rPr>
              <w:t>Չափման միավոր</w:t>
            </w:r>
          </w:p>
        </w:tc>
        <w:tc>
          <w:tcPr>
            <w:tcW w:w="1107" w:type="dxa"/>
          </w:tcPr>
          <w:p w14:paraId="292E130A" w14:textId="7B5CB43B" w:rsidR="0070761C" w:rsidRPr="002E32B4" w:rsidRDefault="002E32B4">
            <w:pPr>
              <w:rPr>
                <w:rFonts w:ascii="Sylfaen" w:hAnsi="Sylfaen"/>
                <w:lang w:val="hy-AM"/>
              </w:rPr>
            </w:pPr>
            <w:r w:rsidRPr="002E32B4">
              <w:rPr>
                <w:rFonts w:ascii="Sylfaen" w:hAnsi="Sylfaen"/>
                <w:lang w:val="hy-AM"/>
              </w:rPr>
              <w:t xml:space="preserve">Քանակ </w:t>
            </w:r>
            <w:r w:rsidR="0070761C" w:rsidRPr="002E32B4">
              <w:rPr>
                <w:rFonts w:ascii="Sylfaen" w:hAnsi="Sylfaen"/>
                <w:lang w:val="hy-AM"/>
              </w:rPr>
              <w:t xml:space="preserve"> </w:t>
            </w:r>
          </w:p>
        </w:tc>
      </w:tr>
      <w:tr w:rsidR="00A031FD" w14:paraId="25975EA8" w14:textId="77777777" w:rsidTr="00283023">
        <w:tc>
          <w:tcPr>
            <w:tcW w:w="3387" w:type="dxa"/>
            <w:vMerge w:val="restart"/>
          </w:tcPr>
          <w:p w14:paraId="165A9828" w14:textId="279391F3" w:rsidR="00A031FD" w:rsidRPr="00F02975" w:rsidRDefault="00A031FD">
            <w:pPr>
              <w:rPr>
                <w:lang w:val="hy-AM"/>
              </w:rPr>
            </w:pPr>
            <w:r>
              <w:rPr>
                <w:lang w:val="hy-AM"/>
              </w:rPr>
              <w:t>111111111</w:t>
            </w:r>
          </w:p>
        </w:tc>
        <w:tc>
          <w:tcPr>
            <w:tcW w:w="1923" w:type="dxa"/>
            <w:vMerge w:val="restart"/>
          </w:tcPr>
          <w:p w14:paraId="2C8C06B5" w14:textId="55E29AE0" w:rsidR="00A031FD" w:rsidRPr="00D8300F" w:rsidRDefault="00A031FD">
            <w:pPr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</w:pPr>
            <w:r w:rsidRPr="00283023">
              <w:rPr>
                <w:rFonts w:ascii="Sylfaen" w:hAnsi="Sylfaen"/>
                <w:b/>
                <w:bCs/>
                <w:sz w:val="24"/>
                <w:szCs w:val="24"/>
                <w:highlight w:val="yellow"/>
                <w:lang w:val="hy-AM"/>
              </w:rPr>
              <w:t>1</w:t>
            </w:r>
            <w:r w:rsidRPr="00283023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hy-AM"/>
              </w:rPr>
              <w:t>․</w:t>
            </w:r>
            <w:r w:rsidRPr="00283023">
              <w:rPr>
                <w:rFonts w:ascii="Sylfaen" w:hAnsi="Sylfaen"/>
                <w:b/>
                <w:bCs/>
                <w:sz w:val="24"/>
                <w:szCs w:val="24"/>
                <w:highlight w:val="yellow"/>
                <w:lang w:val="hy-AM"/>
              </w:rPr>
              <w:t>Տոտալ ոչ ցեմենտային էնդոպրոթեզ</w:t>
            </w:r>
          </w:p>
        </w:tc>
        <w:tc>
          <w:tcPr>
            <w:tcW w:w="2250" w:type="dxa"/>
          </w:tcPr>
          <w:p w14:paraId="12EA0EDF" w14:textId="0780B5D5" w:rsidR="00A031FD" w:rsidRPr="00D8300F" w:rsidRDefault="00A031F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8300F">
              <w:rPr>
                <w:rFonts w:ascii="Sylfaen" w:hAnsi="Sylfaen"/>
                <w:sz w:val="20"/>
                <w:szCs w:val="20"/>
                <w:lang w:val="hy-AM"/>
              </w:rPr>
              <w:t>1,</w:t>
            </w:r>
            <w:r w:rsidRPr="00F02975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1Ազդրոսկրի ոչ ցեմենտային ոտիկ</w:t>
            </w:r>
          </w:p>
        </w:tc>
        <w:tc>
          <w:tcPr>
            <w:tcW w:w="5130" w:type="dxa"/>
          </w:tcPr>
          <w:p w14:paraId="38492E92" w14:textId="5AAD5911" w:rsidR="00A031FD" w:rsidRPr="00D8300F" w:rsidRDefault="00A031F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8300F">
              <w:rPr>
                <w:rFonts w:ascii="Sylfaen" w:hAnsi="Sylfaen"/>
                <w:sz w:val="18"/>
                <w:szCs w:val="18"/>
                <w:lang w:val="hy-AM"/>
              </w:rPr>
              <w:t>Ազդրոսկրի ոչ ցեմենտային ոտիկ - ոչ ցեմենտային ֆիքսացիայի կոմպոնենտ է, պատրաստման նյութը՝ Ti6Al4V, ծածկույթը՝ ոտիկի ամբողջ մակերեսը բացի վզիկից պատված է կենսաակտիվ նյութերով - մաքուր տիտանով և հիդրոքսիապատիտով, լայնական հատույթը՝ օվալաձև, անկյունը՝ 135°, վզիկի երկարությունը՝ 38,8մմ ±2%, ունի առնվազն 11 չափ, որոնք տարբերվում են ըստ ոտիկի երկարության(մմ) և օֆսեթի(մմ)` N00(115/38), N01(130/38,5), N02(140/39,5), N03(145/40), N04(150/41), N05(154/41.5), N06(160/42), N07(165/43), N08(170/43,5), N09(180/44,5), N10(189/45,5): Առկա հորիզոնական ակոսներով պրոքսիմալ աստիճանի երկրաչափությունը շրջագծային լարվածությունները պետք է վերածի սեղմիչ լարվածությունների, իսկ դիստալ հատվածում առկա ուղղահայաց ակոսները՝ պտտական կայունությունն են բարձրացնում։ Բոլոր կոմպոնենտները պետք է լինեն միևնույն արտադրողի կողմից արտադրված, որպեսզի ապահովվի նրանց ճշգրիտ համատեղելիությունը միմյանց հետ։ Կոմպոնենտների տեղադրման համար մրցույթը հաղթող մատակարարը մատակարարման ամբողջ ժամանակահատվածի համար անհատույց պետք է ապահովի էնդոպրոթեզավորման համար անհրաժեշտ գործիքների լրակազմով։ Հանձնելու պահին ամբողջ պիտանելիության ժամկետի առնվազն 1/2-ի առկայություն։ FDA որակի սերտիֆիկատի առկայություն։ Մասնակիցը հայտով ներկայացնում է ապրանքը արտադրողի կողմից ներկայացվող ավտարիզացիոն նամակ ՝ երաշխիքային-լիազոր նամակ , իսկ պայմանագրի կատարման փուլում ապրանքը արտադրողի կողմից ներկայացվող ծագման սերտիֆիկատ և համապատասխանության հավաստագիր</w:t>
            </w:r>
          </w:p>
        </w:tc>
        <w:tc>
          <w:tcPr>
            <w:tcW w:w="1143" w:type="dxa"/>
            <w:vMerge w:val="restart"/>
          </w:tcPr>
          <w:p w14:paraId="302BBCF8" w14:textId="1D598AC1" w:rsidR="00A031FD" w:rsidRPr="00F02975" w:rsidRDefault="00A031FD">
            <w:pPr>
              <w:rPr>
                <w:rFonts w:ascii="Sylfaen" w:hAnsi="Sylfaen"/>
                <w:lang w:val="hy-AM"/>
              </w:rPr>
            </w:pPr>
            <w:r w:rsidRPr="00F02975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107" w:type="dxa"/>
            <w:vMerge w:val="restart"/>
          </w:tcPr>
          <w:p w14:paraId="6A8C5B4C" w14:textId="51E27DA7" w:rsidR="00A031FD" w:rsidRPr="00F02975" w:rsidRDefault="00A260C7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27</w:t>
            </w:r>
          </w:p>
        </w:tc>
      </w:tr>
      <w:tr w:rsidR="00A031FD" w:rsidRPr="00A260C7" w14:paraId="799ACD4E" w14:textId="77777777" w:rsidTr="00283023">
        <w:tc>
          <w:tcPr>
            <w:tcW w:w="3387" w:type="dxa"/>
            <w:vMerge/>
          </w:tcPr>
          <w:p w14:paraId="3B172A06" w14:textId="77777777" w:rsidR="00A031FD" w:rsidRDefault="00A031FD" w:rsidP="0070761C">
            <w:pPr>
              <w:rPr>
                <w:lang w:val="hy-AM"/>
              </w:rPr>
            </w:pPr>
          </w:p>
        </w:tc>
        <w:tc>
          <w:tcPr>
            <w:tcW w:w="1923" w:type="dxa"/>
            <w:vMerge/>
          </w:tcPr>
          <w:p w14:paraId="02B3FD9A" w14:textId="77777777" w:rsidR="00A031FD" w:rsidRDefault="00A031FD" w:rsidP="0070761C">
            <w:pPr>
              <w:rPr>
                <w:lang w:val="hy-AM"/>
              </w:rPr>
            </w:pPr>
          </w:p>
        </w:tc>
        <w:tc>
          <w:tcPr>
            <w:tcW w:w="2250" w:type="dxa"/>
            <w:vAlign w:val="center"/>
          </w:tcPr>
          <w:p w14:paraId="4E14B31E" w14:textId="13E3FC5B" w:rsidR="00A031FD" w:rsidRPr="00D8300F" w:rsidRDefault="00A031FD" w:rsidP="0070761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8300F">
              <w:rPr>
                <w:rStyle w:val="color"/>
                <w:rFonts w:ascii="Sylfaen" w:eastAsia="Times New Roman" w:hAnsi="Sylfaen"/>
                <w:color w:val="000000"/>
                <w:sz w:val="20"/>
                <w:szCs w:val="20"/>
                <w:lang w:val="hy-AM"/>
              </w:rPr>
              <w:t>1</w:t>
            </w:r>
            <w:r w:rsidRPr="00D8300F">
              <w:rPr>
                <w:rStyle w:val="color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>․</w:t>
            </w:r>
            <w:r w:rsidRPr="00D8300F">
              <w:rPr>
                <w:rStyle w:val="color"/>
                <w:rFonts w:ascii="Sylfaen" w:eastAsia="Times New Roman" w:hAnsi="Sylfaen"/>
                <w:color w:val="000000"/>
                <w:sz w:val="20"/>
                <w:szCs w:val="20"/>
                <w:lang w:val="hy-AM"/>
              </w:rPr>
              <w:t xml:space="preserve">2 </w:t>
            </w:r>
            <w:r w:rsidRPr="00F02975">
              <w:rPr>
                <w:rStyle w:val="color"/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Ազդրոսկրի գլխիկ</w:t>
            </w:r>
            <w:r w:rsidRPr="00D8300F">
              <w:rPr>
                <w:rStyle w:val="color"/>
                <w:rFonts w:ascii="Sylfaen" w:eastAsia="Times New Roman" w:hAnsi="Sylfae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30" w:type="dxa"/>
            <w:vAlign w:val="center"/>
          </w:tcPr>
          <w:p w14:paraId="0B286C42" w14:textId="4524F672" w:rsidR="00A031FD" w:rsidRPr="00D8300F" w:rsidRDefault="00A031FD" w:rsidP="0070761C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8300F">
              <w:rPr>
                <w:rStyle w:val="color"/>
                <w:rFonts w:ascii="Sylfaen" w:eastAsia="Times New Roman" w:hAnsi="Sylfaen"/>
                <w:color w:val="000000"/>
                <w:sz w:val="18"/>
                <w:szCs w:val="18"/>
                <w:lang w:val="hy-AM"/>
              </w:rPr>
              <w:t xml:space="preserve">Ազդրոսկրի գլխիկ - պատրաստման նյութը՝ CoCr, ծածկույթը՝ ամբողջ մակերեսը փայլեցրած է, դիամետրը գլխիկի 28մմ-ից մինչև 40մմ, քայլը ≤ 4մմ, գլխիկի կոնուսը՝ 12/14մմ, ազդրոսկրի գլխիկն ունի առնվազն 18 չափ` 1. 22մմ/0մմ, 22մմ/3,5մմ,-արտաքին տրամագիծը 22մմ, 2. 28մմ/-3,5մմ, 28մմ/00մմ, 28մմ/+3,5մմ, 28/+7մմ-արտաքին տրամագիծը 28մմ, 3. 32մմ/-4մմ, 32մմ/00մմ, 32մմ/+4մմ, 32մմ/+7մմ արտաքին տրամագիծը 32մմ։ 4. 36մմ/-4մմ, 36մմ/00մմ, 36մմ/+4մմ, 36մմ/+7մմ-արտաքին տրամագիծը 36մմ, 5. 40մմ/-4մմ, 40մմ/00մմ, 40մմ/+4մմ, 40մմ/+7մմ-արտաքին տրամագիծը 40մմ։ Բոլոր կոմպոնենտները պետք է լինեն միևնույն արտադրողի կողմից արտադրված, որպեսզի ապահովվի նրանց ճշգրիտ համատեղելիությունը միմյանց հետ։ Կոմպոնենտների տեղադրման համար մրցույթը հաղթող մատակարարը մատակարարման ամբողջ ժամանակահատվածի համար անհատույց պետք է ապահովի էնդոպրոթեզավորման համար անհրաժեշտ գործիքների լրակազմով։ Հանձնելու պահին ամբողջ </w:t>
            </w:r>
            <w:r w:rsidRPr="00D8300F">
              <w:rPr>
                <w:rStyle w:val="color"/>
                <w:rFonts w:ascii="Sylfaen" w:eastAsia="Times New Roman" w:hAnsi="Sylfaen"/>
                <w:color w:val="000000"/>
                <w:sz w:val="18"/>
                <w:szCs w:val="18"/>
                <w:lang w:val="hy-AM"/>
              </w:rPr>
              <w:lastRenderedPageBreak/>
              <w:t>պիտանելիության ժամկետի առնվազն 1/2-ի առկայություն։ FDA որակի սերտիֆիկատի առկայություն ։ Մասնակիցը հայտով ներկայացնում է ապրանքը արտադրողի կողմից ներկայացվող ավտարիզացիոն նամակ ՝ երաշխիքային-լիազոր նամակ , իսկ պայմանագրի կատարման փուլում ապրանքը արտադրողի կողմից ներկայացվող ծագման սերտիֆիկատ և համապատասխանության հավաստագիր։</w:t>
            </w:r>
          </w:p>
        </w:tc>
        <w:tc>
          <w:tcPr>
            <w:tcW w:w="1143" w:type="dxa"/>
            <w:vMerge/>
          </w:tcPr>
          <w:p w14:paraId="48551C7B" w14:textId="77777777" w:rsidR="00A031FD" w:rsidRDefault="00A031FD" w:rsidP="0070761C">
            <w:pPr>
              <w:rPr>
                <w:lang w:val="hy-AM"/>
              </w:rPr>
            </w:pPr>
          </w:p>
        </w:tc>
        <w:tc>
          <w:tcPr>
            <w:tcW w:w="1107" w:type="dxa"/>
            <w:vMerge/>
          </w:tcPr>
          <w:p w14:paraId="28CDC8BD" w14:textId="18FD4BE4" w:rsidR="00A031FD" w:rsidRDefault="00A031FD" w:rsidP="0070761C">
            <w:pPr>
              <w:rPr>
                <w:lang w:val="hy-AM"/>
              </w:rPr>
            </w:pPr>
          </w:p>
        </w:tc>
      </w:tr>
      <w:tr w:rsidR="00A031FD" w:rsidRPr="00A260C7" w14:paraId="249368A8" w14:textId="77777777" w:rsidTr="00283023">
        <w:tc>
          <w:tcPr>
            <w:tcW w:w="3387" w:type="dxa"/>
            <w:vMerge/>
          </w:tcPr>
          <w:p w14:paraId="42C31096" w14:textId="77777777" w:rsidR="00A031FD" w:rsidRDefault="00A031FD" w:rsidP="0070761C">
            <w:pPr>
              <w:rPr>
                <w:lang w:val="hy-AM"/>
              </w:rPr>
            </w:pPr>
          </w:p>
        </w:tc>
        <w:tc>
          <w:tcPr>
            <w:tcW w:w="1923" w:type="dxa"/>
            <w:vMerge/>
          </w:tcPr>
          <w:p w14:paraId="50603005" w14:textId="77777777" w:rsidR="00A031FD" w:rsidRDefault="00A031FD" w:rsidP="0070761C">
            <w:pPr>
              <w:rPr>
                <w:lang w:val="hy-AM"/>
              </w:rPr>
            </w:pPr>
          </w:p>
        </w:tc>
        <w:tc>
          <w:tcPr>
            <w:tcW w:w="2250" w:type="dxa"/>
            <w:vAlign w:val="center"/>
          </w:tcPr>
          <w:p w14:paraId="151F0E61" w14:textId="2885E3BF" w:rsidR="00A031FD" w:rsidRPr="00D8300F" w:rsidRDefault="00A031FD" w:rsidP="0070761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8300F">
              <w:rPr>
                <w:rStyle w:val="color"/>
                <w:rFonts w:ascii="Sylfaen" w:eastAsia="Times New Roman" w:hAnsi="Sylfaen"/>
                <w:color w:val="000000"/>
                <w:sz w:val="20"/>
                <w:szCs w:val="20"/>
                <w:lang w:val="hy-AM"/>
              </w:rPr>
              <w:t>1</w:t>
            </w:r>
            <w:r w:rsidRPr="00D8300F">
              <w:rPr>
                <w:rStyle w:val="color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>․</w:t>
            </w:r>
            <w:r w:rsidRPr="00D8300F">
              <w:rPr>
                <w:rStyle w:val="color"/>
                <w:rFonts w:ascii="Sylfaen" w:eastAsia="Times New Roman" w:hAnsi="Sylfaen"/>
                <w:color w:val="000000"/>
                <w:sz w:val="20"/>
                <w:szCs w:val="20"/>
                <w:lang w:val="hy-AM"/>
              </w:rPr>
              <w:t>3</w:t>
            </w:r>
            <w:r>
              <w:rPr>
                <w:rStyle w:val="color"/>
                <w:rFonts w:ascii="Sylfaen" w:eastAsia="Times New Roman" w:hAnsi="Sylfaen"/>
                <w:color w:val="000000"/>
                <w:sz w:val="20"/>
                <w:szCs w:val="20"/>
                <w:lang w:val="hy-AM"/>
              </w:rPr>
              <w:t xml:space="preserve"> </w:t>
            </w:r>
            <w:r w:rsidRPr="00F02975">
              <w:rPr>
                <w:rStyle w:val="color"/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Քացախափոսային գավաթի ներդիր</w:t>
            </w:r>
          </w:p>
        </w:tc>
        <w:tc>
          <w:tcPr>
            <w:tcW w:w="5130" w:type="dxa"/>
            <w:vAlign w:val="center"/>
          </w:tcPr>
          <w:p w14:paraId="63775B8E" w14:textId="360F3FEB" w:rsidR="00A031FD" w:rsidRPr="00D8300F" w:rsidRDefault="00A031FD" w:rsidP="0070761C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8300F">
              <w:rPr>
                <w:rStyle w:val="color"/>
                <w:rFonts w:ascii="Sylfaen" w:eastAsia="Times New Roman" w:hAnsi="Sylfaen"/>
                <w:color w:val="000000"/>
                <w:sz w:val="18"/>
                <w:szCs w:val="18"/>
                <w:lang w:val="hy-AM"/>
              </w:rPr>
              <w:t>Քացախափոսային գավաթի ներդիր, պատրաստման նյութը վերջին սերնդի գերբարձր մոլեկուլային քաշով պոլիէթիլեն՝ HXLPE, 10 աստիճանի հակատեղակայումով։ Ունի առնվազն 16 չափ,որոնք տարբերվում են ըստ արտաքին տրամագծի(մմ) և համատեղելի գլխիկի չափի(մմ)` 35/22մմ, 35/28մմ, 37/22մմ, 37/28մմ, 40/28մմ, 40/32մմ, 44/28մմ, 44/32մմ, 44/36մմ, 48/28մմ, 48/32մմ, 48/36մմ, 48/40մմ, 52/32մմ, 52/36մմ, 52/40մմ։ Բոլոր կոմպոնենտները պետք է լինեն միևնույն արտադրողի կողմից արտադրված, որպեսզի ապահովվի նրանց ճշգրիտ համատեղելիությունը միմյանց հետ։ Կոմպոնենտների տեղադրման համար մրցույթը հաղթող մատակարարը, մատակարարման ամբողջ ժամանակահատվածի համար անհատույց պետք է ապահովի էնդոպրոթեզավորման համար անհրաժեշտ գործիքների լրակազմով։ Հանձնելու պահին ամբողջ պիտանելիության ժամկետի առնվազն 1/2-ի առկայություն։ FDA որակի սերտիֆիկատի առկայություն ։ Մասնակիցը հայտով ներկայացնում է ապրանքը արտադրողի կողմից ներկայացվող ավտարիզացիոն նամակ ՝ երաշխիքային-լիազոր նամակ , իսկ պայմանագրի կատարման փուլում ապրանքը արտադրողի կողմից ներկայացվող ծագման սերտիֆիկատ և համապատասխանության հավաստագիր։</w:t>
            </w:r>
          </w:p>
        </w:tc>
        <w:tc>
          <w:tcPr>
            <w:tcW w:w="1143" w:type="dxa"/>
            <w:vMerge/>
          </w:tcPr>
          <w:p w14:paraId="1D769852" w14:textId="77777777" w:rsidR="00A031FD" w:rsidRDefault="00A031FD" w:rsidP="0070761C">
            <w:pPr>
              <w:rPr>
                <w:lang w:val="hy-AM"/>
              </w:rPr>
            </w:pPr>
          </w:p>
        </w:tc>
        <w:tc>
          <w:tcPr>
            <w:tcW w:w="1107" w:type="dxa"/>
            <w:vMerge/>
          </w:tcPr>
          <w:p w14:paraId="750038E4" w14:textId="04326C6F" w:rsidR="00A031FD" w:rsidRDefault="00A031FD" w:rsidP="0070761C">
            <w:pPr>
              <w:rPr>
                <w:lang w:val="hy-AM"/>
              </w:rPr>
            </w:pPr>
          </w:p>
        </w:tc>
      </w:tr>
      <w:tr w:rsidR="00A031FD" w:rsidRPr="00A260C7" w14:paraId="17B76091" w14:textId="77777777" w:rsidTr="00283023">
        <w:tc>
          <w:tcPr>
            <w:tcW w:w="3387" w:type="dxa"/>
            <w:vMerge/>
          </w:tcPr>
          <w:p w14:paraId="4622C92D" w14:textId="77777777" w:rsidR="00A031FD" w:rsidRDefault="00A031FD" w:rsidP="0070761C">
            <w:pPr>
              <w:rPr>
                <w:lang w:val="hy-AM"/>
              </w:rPr>
            </w:pPr>
          </w:p>
        </w:tc>
        <w:tc>
          <w:tcPr>
            <w:tcW w:w="1923" w:type="dxa"/>
            <w:vMerge/>
          </w:tcPr>
          <w:p w14:paraId="3F8C9C83" w14:textId="77777777" w:rsidR="00A031FD" w:rsidRDefault="00A031FD" w:rsidP="0070761C">
            <w:pPr>
              <w:rPr>
                <w:lang w:val="hy-AM"/>
              </w:rPr>
            </w:pPr>
          </w:p>
        </w:tc>
        <w:tc>
          <w:tcPr>
            <w:tcW w:w="2250" w:type="dxa"/>
            <w:vAlign w:val="center"/>
          </w:tcPr>
          <w:p w14:paraId="105D2D47" w14:textId="411658DA" w:rsidR="00A031FD" w:rsidRPr="00F02975" w:rsidRDefault="00A031FD" w:rsidP="0070761C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F02975">
              <w:rPr>
                <w:rStyle w:val="color"/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hy-AM"/>
              </w:rPr>
              <w:t>1</w:t>
            </w:r>
            <w:r w:rsidRPr="00F02975">
              <w:rPr>
                <w:rStyle w:val="color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hy-AM"/>
              </w:rPr>
              <w:t>․</w:t>
            </w:r>
            <w:r w:rsidRPr="00F02975">
              <w:rPr>
                <w:rStyle w:val="color"/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hy-AM"/>
              </w:rPr>
              <w:t xml:space="preserve">4 </w:t>
            </w:r>
            <w:r w:rsidRPr="00F02975">
              <w:rPr>
                <w:rStyle w:val="color"/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 xml:space="preserve">Քացախափոսային գավաթ ոչ ցեմենտային </w:t>
            </w:r>
          </w:p>
        </w:tc>
        <w:tc>
          <w:tcPr>
            <w:tcW w:w="5130" w:type="dxa"/>
            <w:vAlign w:val="center"/>
          </w:tcPr>
          <w:p w14:paraId="619EAE8B" w14:textId="0213DF4F" w:rsidR="00A031FD" w:rsidRPr="00D8300F" w:rsidRDefault="00A031FD" w:rsidP="0070761C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8300F">
              <w:rPr>
                <w:rStyle w:val="color"/>
                <w:rFonts w:ascii="Sylfaen" w:eastAsia="Times New Roman" w:hAnsi="Sylfaen"/>
                <w:color w:val="000000"/>
                <w:sz w:val="18"/>
                <w:szCs w:val="18"/>
                <w:lang w:val="hy-AM"/>
              </w:rPr>
              <w:t>Քացախափոսային գավաթ ոչ ցեմենտային - պատրաստման նյութը՝ Ti6Al4V, ծածկույթը տրաբեկուլյար տիտան՝ MWPE ներդիրները բացի կոնաձև միացումից, ամրանում են գավաթի մեջ՝ շնորհիվ հատուկ էպիցիկլոիդային համակարգի միջոցով, որը ապահովվում է պահպանում և պտտման կայունություն։ Ունի առնվազն 16 չափ` 40մմ-70մմ արտաքին տրամագծով, 3 քացախափոսային գավաթի պտուտակների անցքերի քանակով: Բոլոր կոմպոնենտները պետք է լինեն միևնույն արտադրողի կողմից արտադրված, որպեսզի ապահովվի նրանց ճշգրիտ համատեղելիությունը միմյանց հետ։ Կոմպոնենտների տեղադրման համար մրցույթը հաղթող մատակարարը մատակարարման ամբողջ ժամանակահատվածի համար անհատույց պետք է ապահովի էնդոպրոթեզավորման համար անհրաժեշտ գործիքների լրակազմով։ Հանձնելու պահին ամբողջ պիտանելիության ժամկետի առնվազն 1/2-ի առկայություն։ FDA որակի սերտիֆիկատի առկայություն ։ Մասնակիցը հայտով ներկայացնում է ապրանքը արտադրողի կողմից ներկայացվող ավտարիզացիոն նամակ ՝ երաշխիքային-լիազոր նամակ , իսկ պայմանագրի կատարման փուլում ապրանքը արտադրողի կողմից ներկայացվող ծագման սերտիֆիկատ և համապատասխանության հավաստագիր։</w:t>
            </w:r>
          </w:p>
        </w:tc>
        <w:tc>
          <w:tcPr>
            <w:tcW w:w="1143" w:type="dxa"/>
            <w:vMerge/>
          </w:tcPr>
          <w:p w14:paraId="44725C52" w14:textId="77777777" w:rsidR="00A031FD" w:rsidRDefault="00A031FD" w:rsidP="0070761C">
            <w:pPr>
              <w:rPr>
                <w:lang w:val="hy-AM"/>
              </w:rPr>
            </w:pPr>
          </w:p>
        </w:tc>
        <w:tc>
          <w:tcPr>
            <w:tcW w:w="1107" w:type="dxa"/>
            <w:vMerge/>
          </w:tcPr>
          <w:p w14:paraId="1F9AFBB7" w14:textId="69BE4BE4" w:rsidR="00A031FD" w:rsidRDefault="00A031FD" w:rsidP="0070761C">
            <w:pPr>
              <w:rPr>
                <w:lang w:val="hy-AM"/>
              </w:rPr>
            </w:pPr>
          </w:p>
        </w:tc>
      </w:tr>
      <w:tr w:rsidR="00A031FD" w:rsidRPr="00A260C7" w14:paraId="2A363278" w14:textId="77777777" w:rsidTr="00283023">
        <w:tc>
          <w:tcPr>
            <w:tcW w:w="3387" w:type="dxa"/>
            <w:vMerge/>
          </w:tcPr>
          <w:p w14:paraId="71006048" w14:textId="77777777" w:rsidR="00A031FD" w:rsidRDefault="00A031FD" w:rsidP="0070761C">
            <w:pPr>
              <w:rPr>
                <w:lang w:val="hy-AM"/>
              </w:rPr>
            </w:pPr>
          </w:p>
        </w:tc>
        <w:tc>
          <w:tcPr>
            <w:tcW w:w="1923" w:type="dxa"/>
            <w:vMerge/>
          </w:tcPr>
          <w:p w14:paraId="367AA08B" w14:textId="77777777" w:rsidR="00A031FD" w:rsidRDefault="00A031FD" w:rsidP="0070761C">
            <w:pPr>
              <w:rPr>
                <w:lang w:val="hy-AM"/>
              </w:rPr>
            </w:pPr>
          </w:p>
        </w:tc>
        <w:tc>
          <w:tcPr>
            <w:tcW w:w="2250" w:type="dxa"/>
            <w:vAlign w:val="center"/>
          </w:tcPr>
          <w:p w14:paraId="196DCE0A" w14:textId="77EFB531" w:rsidR="00A031FD" w:rsidRPr="00D8300F" w:rsidRDefault="00A031FD" w:rsidP="0070761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8300F">
              <w:rPr>
                <w:rStyle w:val="color"/>
                <w:rFonts w:ascii="Sylfaen" w:eastAsia="Times New Roman" w:hAnsi="Sylfaen"/>
                <w:color w:val="000000"/>
                <w:sz w:val="20"/>
                <w:szCs w:val="20"/>
                <w:lang w:val="hy-AM"/>
              </w:rPr>
              <w:t>1</w:t>
            </w:r>
            <w:r>
              <w:rPr>
                <w:rStyle w:val="color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>․</w:t>
            </w:r>
            <w:r w:rsidRPr="00F02975">
              <w:rPr>
                <w:rStyle w:val="color"/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hy-AM"/>
              </w:rPr>
              <w:t>5</w:t>
            </w:r>
            <w:r w:rsidRPr="00F02975">
              <w:rPr>
                <w:rStyle w:val="color"/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Քացախափոսային գավաթի պտուտակներ</w:t>
            </w:r>
          </w:p>
        </w:tc>
        <w:tc>
          <w:tcPr>
            <w:tcW w:w="5130" w:type="dxa"/>
            <w:vAlign w:val="center"/>
          </w:tcPr>
          <w:p w14:paraId="24860B6F" w14:textId="4F6A915F" w:rsidR="00A031FD" w:rsidRPr="00D8300F" w:rsidRDefault="00A031FD" w:rsidP="0070761C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8300F">
              <w:rPr>
                <w:rStyle w:val="color"/>
                <w:rFonts w:ascii="Sylfaen" w:eastAsia="Times New Roman" w:hAnsi="Sylfaen"/>
                <w:color w:val="000000"/>
                <w:sz w:val="18"/>
                <w:szCs w:val="18"/>
                <w:lang w:val="hy-AM"/>
              </w:rPr>
              <w:t>Քացախափոսային գավաթի պտուտակներ, պատրաստման նյութը՝ Ti6Al4V, ունի առնվազն 8 չափ` 6,5x15մմ, 6.5x20մմ, 6.5x25մմ, 6.5x30մմ, 6.5x35մմ, 6.5x40մմ, 6.5x45մմ, 6.5x50մմ։ Բոլոր կոմպոնենտները պետք է լինեն միևնույն արտադրողի կողմից արտադրված, որպեսզի ապահովվի նրանց ճշգրիտ համատեղելիությունը միմյանց հետ։ Կոմպոնենտների տեղադրման համար մրցույթը հաղթող մատակարարը մատակարարման ամբողջ ժամանակահատվածի համար անհատույց պետք է ապահովի էնդոպրոթեզավորման համար անհրաժեշտ գործիքների լրակազմով։ Հանձնելու պահին ամբողջ պիտանելիության ժամկետի առնվազն 1/2-ի առկայություն։ FDA որակի սերտիֆիկատի առկայություն ։ Մասնակիցը հայտով ներկայացնում է ապրանքը արտադրողի կողմից ներկայացվող ավտարիզացիոն նամակ ՝ երաշխիքային-լիազոր նամակ , իսկ պայմանագրի կատարման փուլում ապրանքը արտադրողի կողմից ներկայացվող ծագման սերտիֆիկատ և համապատասխանության հավաստագիր։</w:t>
            </w:r>
          </w:p>
        </w:tc>
        <w:tc>
          <w:tcPr>
            <w:tcW w:w="1143" w:type="dxa"/>
            <w:vMerge/>
          </w:tcPr>
          <w:p w14:paraId="7B940329" w14:textId="77777777" w:rsidR="00A031FD" w:rsidRDefault="00A031FD" w:rsidP="0070761C">
            <w:pPr>
              <w:rPr>
                <w:lang w:val="hy-AM"/>
              </w:rPr>
            </w:pPr>
          </w:p>
        </w:tc>
        <w:tc>
          <w:tcPr>
            <w:tcW w:w="1107" w:type="dxa"/>
            <w:vMerge/>
          </w:tcPr>
          <w:p w14:paraId="457164D6" w14:textId="724C7E3E" w:rsidR="00A031FD" w:rsidRDefault="00A031FD" w:rsidP="0070761C">
            <w:pPr>
              <w:rPr>
                <w:lang w:val="hy-AM"/>
              </w:rPr>
            </w:pPr>
          </w:p>
        </w:tc>
      </w:tr>
      <w:tr w:rsidR="00A031FD" w:rsidRPr="00D8300F" w14:paraId="74E0FD0F" w14:textId="77777777" w:rsidTr="00283023">
        <w:tc>
          <w:tcPr>
            <w:tcW w:w="3387" w:type="dxa"/>
            <w:vMerge w:val="restart"/>
          </w:tcPr>
          <w:p w14:paraId="7C3AFF6E" w14:textId="702549D3" w:rsidR="00A031FD" w:rsidRDefault="00A031FD" w:rsidP="00914F00">
            <w:pPr>
              <w:rPr>
                <w:lang w:val="hy-AM"/>
              </w:rPr>
            </w:pPr>
            <w:r>
              <w:rPr>
                <w:lang w:val="hy-AM"/>
              </w:rPr>
              <w:t>222222222</w:t>
            </w:r>
          </w:p>
        </w:tc>
        <w:tc>
          <w:tcPr>
            <w:tcW w:w="1923" w:type="dxa"/>
            <w:vMerge w:val="restart"/>
          </w:tcPr>
          <w:p w14:paraId="7E6616FE" w14:textId="7930D410" w:rsidR="00A031FD" w:rsidRPr="00D8300F" w:rsidRDefault="00A031FD" w:rsidP="00914F00">
            <w:pPr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</w:pPr>
            <w:r w:rsidRPr="00283023">
              <w:rPr>
                <w:rFonts w:ascii="Sylfaen" w:hAnsi="Sylfaen"/>
                <w:b/>
                <w:bCs/>
                <w:sz w:val="24"/>
                <w:szCs w:val="24"/>
                <w:highlight w:val="yellow"/>
                <w:lang w:val="hy-AM"/>
              </w:rPr>
              <w:t>2</w:t>
            </w:r>
            <w:r w:rsidRPr="00283023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hy-AM"/>
              </w:rPr>
              <w:t>․</w:t>
            </w:r>
            <w:r w:rsidRPr="00283023">
              <w:rPr>
                <w:rFonts w:ascii="Sylfaen" w:hAnsi="Sylfaen"/>
                <w:b/>
                <w:bCs/>
                <w:sz w:val="24"/>
                <w:szCs w:val="24"/>
                <w:highlight w:val="yellow"/>
                <w:lang w:val="hy-AM"/>
              </w:rPr>
              <w:t>Տոտալ ցեմենտային էնդոպրոթեզ</w:t>
            </w:r>
          </w:p>
        </w:tc>
        <w:tc>
          <w:tcPr>
            <w:tcW w:w="2250" w:type="dxa"/>
            <w:vAlign w:val="center"/>
          </w:tcPr>
          <w:p w14:paraId="2D8D0E2D" w14:textId="5C9E5865" w:rsidR="00A031FD" w:rsidRPr="00D8300F" w:rsidRDefault="00A031FD" w:rsidP="00914F0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8300F">
              <w:rPr>
                <w:rStyle w:val="color"/>
                <w:rFonts w:ascii="Sylfaen" w:eastAsia="Times New Roman" w:hAnsi="Sylfaen"/>
                <w:color w:val="000000"/>
                <w:sz w:val="20"/>
                <w:szCs w:val="20"/>
                <w:lang w:val="hy-AM"/>
              </w:rPr>
              <w:t>2</w:t>
            </w:r>
            <w:r w:rsidRPr="00D8300F">
              <w:rPr>
                <w:rStyle w:val="color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>․</w:t>
            </w:r>
            <w:r w:rsidRPr="00F02975">
              <w:rPr>
                <w:rStyle w:val="color"/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hy-AM"/>
              </w:rPr>
              <w:t>1</w:t>
            </w:r>
            <w:r w:rsidRPr="00F02975">
              <w:rPr>
                <w:rStyle w:val="color"/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Ազդրոսկրի ցեմենտային ոտիկ</w:t>
            </w:r>
            <w:r w:rsidRPr="00D8300F">
              <w:rPr>
                <w:rStyle w:val="color"/>
                <w:rFonts w:ascii="Sylfaen" w:eastAsia="Times New Roman" w:hAnsi="Sylfae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30" w:type="dxa"/>
            <w:vAlign w:val="center"/>
          </w:tcPr>
          <w:p w14:paraId="1765B096" w14:textId="647174A7" w:rsidR="00A031FD" w:rsidRPr="00D8300F" w:rsidRDefault="00A031FD" w:rsidP="00914F0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8300F">
              <w:rPr>
                <w:rStyle w:val="color"/>
                <w:rFonts w:ascii="Sylfaen" w:eastAsia="Times New Roman" w:hAnsi="Sylfaen"/>
                <w:color w:val="000000"/>
                <w:sz w:val="18"/>
                <w:szCs w:val="18"/>
                <w:lang w:val="hy-AM"/>
              </w:rPr>
              <w:t>Ազդրոսկրի ցեմենտային ոտիկ - ցեմենտային ֆիքսացիայի կոմպոնենտ է, պատրաստման նյութը՝ HNSS, ծածկույթը՝ ամբողջ մակերեսը փայլեցրած է, լայնական հատույթը՝ օվալաձև, անկյունը՝ 125°, վզիկի երկարությունը՝ 36,1մմ-ից մինչև 40,6մմ, ունի առնվազն 5 չափ, որոնք տարբերվում են ըստ երկարության և օֆսեթի՝ N00(127/37), N01(149/45), N02(149/45), N03(149/45), N04(149/45): Ոտիկի վրա առկա են ընկղման մակարդակի նշումներ։ Բոլոր կոմպոնենտները պետք է լինեն միևնույն արտադրողի կողմից արտադրված, որպեսզի ապահովվի նրանց ճշգրիտ համատեղելիությունը միմյանց հետ։ Կոմպոնենտների տեղադրման համար մրցույթը հաղթող մատակարարը, մատակարարման ամբողջ ժամանակահատվածի համար անհատույց պետք է ապահովի էնդոպրոթեզավորման համար անհրաժեշտ գործիքների լրակազմով։ Հանձնելու պահին ամբողջ պիտանելիության ժամկետի առնվազն 1/2-ի առկայություն։ FDA որակի սերտիֆիկատի առկայություն։ Մասնակիցը հայտով ներկայացնում է ապրանքը արտադրողի կողմից ներկայացվող ավտարիզացիոն նամակ ՝ երաշխիքային-լիազոր նամակ , իսկ պայմանագրի կատարման փուլում ապրանքը արտադրողի կողմից ներկայացվող ծագման սերտիֆիկատ և համապատասխանության հավաստագիր։</w:t>
            </w:r>
          </w:p>
        </w:tc>
        <w:tc>
          <w:tcPr>
            <w:tcW w:w="1143" w:type="dxa"/>
            <w:vMerge w:val="restart"/>
          </w:tcPr>
          <w:p w14:paraId="5271E285" w14:textId="765609EA" w:rsidR="00A031FD" w:rsidRDefault="00A031FD" w:rsidP="00914F00">
            <w:pPr>
              <w:rPr>
                <w:lang w:val="hy-AM"/>
              </w:rPr>
            </w:pPr>
            <w:r w:rsidRPr="00F02975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107" w:type="dxa"/>
            <w:vMerge w:val="restart"/>
          </w:tcPr>
          <w:p w14:paraId="333434F9" w14:textId="5D3BD8B4" w:rsidR="00A031FD" w:rsidRDefault="00A260C7" w:rsidP="00914F00">
            <w:pPr>
              <w:rPr>
                <w:lang w:val="hy-AM"/>
              </w:rPr>
            </w:pPr>
            <w:r>
              <w:rPr>
                <w:rFonts w:ascii="Sylfaen" w:hAnsi="Sylfaen"/>
                <w:lang w:val="hy-AM"/>
              </w:rPr>
              <w:t>27</w:t>
            </w:r>
          </w:p>
        </w:tc>
      </w:tr>
      <w:tr w:rsidR="00A031FD" w:rsidRPr="00A260C7" w14:paraId="5D8EDA58" w14:textId="77777777" w:rsidTr="00283023">
        <w:tc>
          <w:tcPr>
            <w:tcW w:w="3387" w:type="dxa"/>
            <w:vMerge/>
          </w:tcPr>
          <w:p w14:paraId="76592906" w14:textId="77777777" w:rsidR="00A031FD" w:rsidRDefault="00A031FD" w:rsidP="0070761C">
            <w:pPr>
              <w:rPr>
                <w:lang w:val="hy-AM"/>
              </w:rPr>
            </w:pPr>
          </w:p>
        </w:tc>
        <w:tc>
          <w:tcPr>
            <w:tcW w:w="1923" w:type="dxa"/>
            <w:vMerge/>
          </w:tcPr>
          <w:p w14:paraId="5587BFB1" w14:textId="77777777" w:rsidR="00A031FD" w:rsidRDefault="00A031FD" w:rsidP="0070761C">
            <w:pPr>
              <w:rPr>
                <w:lang w:val="hy-AM"/>
              </w:rPr>
            </w:pPr>
          </w:p>
        </w:tc>
        <w:tc>
          <w:tcPr>
            <w:tcW w:w="2250" w:type="dxa"/>
            <w:vAlign w:val="center"/>
          </w:tcPr>
          <w:p w14:paraId="53D1D486" w14:textId="630B7E0E" w:rsidR="00A031FD" w:rsidRPr="00F02975" w:rsidRDefault="00A031FD" w:rsidP="0070761C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F02975">
              <w:rPr>
                <w:rStyle w:val="color"/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hy-AM"/>
              </w:rPr>
              <w:t>2</w:t>
            </w:r>
            <w:r w:rsidRPr="00F02975">
              <w:rPr>
                <w:rStyle w:val="color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hy-AM"/>
              </w:rPr>
              <w:t>․</w:t>
            </w:r>
            <w:r w:rsidRPr="00F02975">
              <w:rPr>
                <w:rStyle w:val="color"/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hy-AM"/>
              </w:rPr>
              <w:t>2</w:t>
            </w:r>
            <w:r w:rsidRPr="00F02975">
              <w:rPr>
                <w:rStyle w:val="color"/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 xml:space="preserve">Ազդրոսկրի գլխիկ </w:t>
            </w:r>
          </w:p>
        </w:tc>
        <w:tc>
          <w:tcPr>
            <w:tcW w:w="5130" w:type="dxa"/>
            <w:vAlign w:val="center"/>
          </w:tcPr>
          <w:p w14:paraId="33D2EFBF" w14:textId="6F951C68" w:rsidR="00A031FD" w:rsidRPr="00D8300F" w:rsidRDefault="00A031FD" w:rsidP="0070761C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8300F">
              <w:rPr>
                <w:rStyle w:val="color"/>
                <w:rFonts w:ascii="Sylfaen" w:eastAsia="Times New Roman" w:hAnsi="Sylfaen"/>
                <w:color w:val="000000"/>
                <w:sz w:val="18"/>
                <w:szCs w:val="18"/>
                <w:lang w:val="hy-AM"/>
              </w:rPr>
              <w:t xml:space="preserve">Ազդրոսկրի գլխիկ - պատրաստման նյութը՝ CoCr, ծածկույթը՝ ամբողջ մակերեսը փայլեցրած է, դիամետրը գլխիկի 28մմ-ից մինչև 40մմ, քայլը ≤ 4մմ, գլխիկի կոնուսը՝ 12/14մմ, ազդրոսկրի գլխիկն ունի առնվազն 18 չափ` 1. 22մմ/0մմ, 22մմ/3,5մմ,-արտաքին տրամագիծը 22մմ, 2. 28մմ/-3,5մմ, 28մմ/00մմ, 28մմ/+3,5մմ, 28/+7մմ-արտաքին տրամագիծը 28մմ, 3. 32մմ/-4մմ, 32մմ/00մմ, 32մմ/+4մմ, 32մմ/+7մմ արտաքին տրամագիծը 32մմ։ 4. 36մմ/-4մմ, 36մմ/00մմ, 36մմ/+4մմ, 36մմ/+7մմ-արտաքին տրամագիծը 36մմ, 5. 40մմ/-4մմ, 40մմ/00մմ, 40մմ/+4մմ, 40մմ/+7մմ-արտաքին տրամագիծը 40մմ։ Բոլոր կոմպոնենտները պետք է լինեն միևնույն արտադրողի կողմից արտադրված, որպեսզի ապահովվի նրանց ճշգրիտ համատեղելիությունը միմյանց հետ։ Կոմպոնենտների տեղադրման համար </w:t>
            </w:r>
            <w:r w:rsidRPr="00D8300F">
              <w:rPr>
                <w:rStyle w:val="color"/>
                <w:rFonts w:ascii="Sylfaen" w:eastAsia="Times New Roman" w:hAnsi="Sylfaen"/>
                <w:color w:val="000000"/>
                <w:sz w:val="18"/>
                <w:szCs w:val="18"/>
                <w:lang w:val="hy-AM"/>
              </w:rPr>
              <w:lastRenderedPageBreak/>
              <w:t>մրցույթը հաղթող մատակարարը մատակարարման ամբողջ ժամանակահատվածի համար անհատույց պետք է ապահովի էնդոպրոթեզավորման համար անհրաժեշտ գործիքների լրակազմով։ Հանձնելու պահին ամբողջ պիտանելիության ժամկետի առնվազն 1/2-ի առկայություն։ FDA որակի սերտիֆիկատի առկայություն ։ Մասնակիցը հայտով ներկայացնում է ապրանքը արտադրողի կողմից ներկայացվող ավտարիզացիոն նամակ ՝ երաշխիքային-լիազոր նամակ , իսկ պայմանագրի կատարման փուլում ապրանքը արտադրողի կողմից ներկայացվող ծագման սերտիֆիկատ և համապատասխանության հավաստագիր։</w:t>
            </w:r>
          </w:p>
        </w:tc>
        <w:tc>
          <w:tcPr>
            <w:tcW w:w="1143" w:type="dxa"/>
            <w:vMerge/>
          </w:tcPr>
          <w:p w14:paraId="405A70EE" w14:textId="77777777" w:rsidR="00A031FD" w:rsidRDefault="00A031FD" w:rsidP="0070761C">
            <w:pPr>
              <w:rPr>
                <w:lang w:val="hy-AM"/>
              </w:rPr>
            </w:pPr>
          </w:p>
        </w:tc>
        <w:tc>
          <w:tcPr>
            <w:tcW w:w="1107" w:type="dxa"/>
            <w:vMerge/>
          </w:tcPr>
          <w:p w14:paraId="3E444EC6" w14:textId="760BDE42" w:rsidR="00A031FD" w:rsidRDefault="00A031FD" w:rsidP="0070761C">
            <w:pPr>
              <w:rPr>
                <w:lang w:val="hy-AM"/>
              </w:rPr>
            </w:pPr>
          </w:p>
        </w:tc>
      </w:tr>
      <w:tr w:rsidR="00A031FD" w:rsidRPr="00A260C7" w14:paraId="68254B8C" w14:textId="77777777" w:rsidTr="00283023">
        <w:tc>
          <w:tcPr>
            <w:tcW w:w="3387" w:type="dxa"/>
            <w:vMerge/>
          </w:tcPr>
          <w:p w14:paraId="4C5B48B2" w14:textId="77777777" w:rsidR="00A031FD" w:rsidRDefault="00A031FD" w:rsidP="0070761C">
            <w:pPr>
              <w:rPr>
                <w:lang w:val="hy-AM"/>
              </w:rPr>
            </w:pPr>
          </w:p>
        </w:tc>
        <w:tc>
          <w:tcPr>
            <w:tcW w:w="1923" w:type="dxa"/>
            <w:vMerge/>
          </w:tcPr>
          <w:p w14:paraId="6500AFA0" w14:textId="77777777" w:rsidR="00A031FD" w:rsidRDefault="00A031FD" w:rsidP="0070761C">
            <w:pPr>
              <w:rPr>
                <w:lang w:val="hy-AM"/>
              </w:rPr>
            </w:pPr>
          </w:p>
        </w:tc>
        <w:tc>
          <w:tcPr>
            <w:tcW w:w="2250" w:type="dxa"/>
            <w:vAlign w:val="center"/>
          </w:tcPr>
          <w:p w14:paraId="665E7A98" w14:textId="2B9AB748" w:rsidR="00A031FD" w:rsidRPr="00F02975" w:rsidRDefault="00A031FD" w:rsidP="0070761C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F02975">
              <w:rPr>
                <w:rStyle w:val="color"/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hy-AM"/>
              </w:rPr>
              <w:t>2</w:t>
            </w:r>
            <w:r w:rsidRPr="00F02975">
              <w:rPr>
                <w:rStyle w:val="color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hy-AM"/>
              </w:rPr>
              <w:t>․</w:t>
            </w:r>
            <w:r w:rsidRPr="00F02975">
              <w:rPr>
                <w:rStyle w:val="color"/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hy-AM"/>
              </w:rPr>
              <w:t xml:space="preserve">3 </w:t>
            </w:r>
            <w:r w:rsidRPr="00F02975">
              <w:rPr>
                <w:rStyle w:val="color"/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Քացախափոսային գավաթի ներդիր</w:t>
            </w:r>
          </w:p>
        </w:tc>
        <w:tc>
          <w:tcPr>
            <w:tcW w:w="5130" w:type="dxa"/>
            <w:vAlign w:val="center"/>
          </w:tcPr>
          <w:p w14:paraId="51920185" w14:textId="466FB7A5" w:rsidR="00A031FD" w:rsidRPr="00D8300F" w:rsidRDefault="00A031FD" w:rsidP="0070761C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8300F">
              <w:rPr>
                <w:rStyle w:val="color"/>
                <w:rFonts w:ascii="Sylfaen" w:eastAsia="Times New Roman" w:hAnsi="Sylfaen"/>
                <w:color w:val="000000"/>
                <w:sz w:val="18"/>
                <w:szCs w:val="18"/>
                <w:lang w:val="hy-AM"/>
              </w:rPr>
              <w:t>Քացախափոսային գավաթի ներդիր, պատրաստման նյութը վերջին սերնդի գերբարձր մոլեկուլային քաշով պոլիէթիլեն՝ HXLPE, 10 աստիճանի հակատեղակայումով։ Ունի առնվազն 16 չափ,որոնք տարբերվում են ըստ արտաքին տրամագծի(մմ) և համատեղելի գլխիկի չափի(մմ)` 35/22մմ, 35/28մմ, 37/22մմ, 37/28մմ, 40/28մմ, 40/32մմ, 44/28մմ, 44/32մմ, 44/36մմ, 48/28մմ, 48/32մմ, 48/36մմ, 48/40մմ, 52/32մմ, 52/36մմ, 52/40մմ։ Բոլոր կոմպոնենտները պետք է լինեն միևնույն արտադրողի կողմից արտադրված, որպեսզի ապահովվի նրանց ճշգրիտ համատեղելիությունը միմյանց հետ։ Կոմպոնենտների տեղադրման համար մրցույթը հաղթող մատակարարը, մատակարարման ամբողջ ժամանակահատվածի համար անհատույց պետք է ապահովի էնդոպրոթեզավորման համար անհրաժեշտ գործիքների լրակազմով։ Հանձնելու պահին ամբողջ պիտանելիության ժամկետի առնվազն 1/2-ի առկայություն։ FDA որակի սերտիֆիկատի առկայություն ։ Մասնակիցը հայտով ներկայացնում է ապրանքը արտադրողի կողմից ներկայացվող ավտարիզացիոն նամակ ՝ երաշխիքային-լիազոր նամակ , իսկ պայմանագրի կատարման փուլում ապրանքը արտադրողի կողմից ներկայացվող ծագման սերտիֆիկատ և համապատասխանության հավաստագիր։</w:t>
            </w:r>
          </w:p>
        </w:tc>
        <w:tc>
          <w:tcPr>
            <w:tcW w:w="1143" w:type="dxa"/>
            <w:vMerge/>
          </w:tcPr>
          <w:p w14:paraId="08955B95" w14:textId="77777777" w:rsidR="00A031FD" w:rsidRDefault="00A031FD" w:rsidP="0070761C">
            <w:pPr>
              <w:rPr>
                <w:lang w:val="hy-AM"/>
              </w:rPr>
            </w:pPr>
          </w:p>
        </w:tc>
        <w:tc>
          <w:tcPr>
            <w:tcW w:w="1107" w:type="dxa"/>
            <w:vMerge/>
          </w:tcPr>
          <w:p w14:paraId="69511F29" w14:textId="68AB241D" w:rsidR="00A031FD" w:rsidRDefault="00A031FD" w:rsidP="0070761C">
            <w:pPr>
              <w:rPr>
                <w:lang w:val="hy-AM"/>
              </w:rPr>
            </w:pPr>
          </w:p>
        </w:tc>
      </w:tr>
      <w:tr w:rsidR="00A031FD" w:rsidRPr="00A260C7" w14:paraId="0F2987D8" w14:textId="77777777" w:rsidTr="00283023">
        <w:tc>
          <w:tcPr>
            <w:tcW w:w="3387" w:type="dxa"/>
            <w:vMerge/>
          </w:tcPr>
          <w:p w14:paraId="79D02A06" w14:textId="77777777" w:rsidR="00A031FD" w:rsidRDefault="00A031FD" w:rsidP="0070761C">
            <w:pPr>
              <w:rPr>
                <w:lang w:val="hy-AM"/>
              </w:rPr>
            </w:pPr>
          </w:p>
        </w:tc>
        <w:tc>
          <w:tcPr>
            <w:tcW w:w="1923" w:type="dxa"/>
            <w:vMerge/>
          </w:tcPr>
          <w:p w14:paraId="41E92529" w14:textId="77777777" w:rsidR="00A031FD" w:rsidRDefault="00A031FD" w:rsidP="0070761C">
            <w:pPr>
              <w:rPr>
                <w:lang w:val="hy-AM"/>
              </w:rPr>
            </w:pPr>
          </w:p>
        </w:tc>
        <w:tc>
          <w:tcPr>
            <w:tcW w:w="2250" w:type="dxa"/>
            <w:vAlign w:val="center"/>
          </w:tcPr>
          <w:p w14:paraId="28436ED6" w14:textId="28317E58" w:rsidR="00A031FD" w:rsidRPr="00F02975" w:rsidRDefault="00A031FD" w:rsidP="0070761C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F02975">
              <w:rPr>
                <w:rStyle w:val="color"/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hy-AM"/>
              </w:rPr>
              <w:t>2</w:t>
            </w:r>
            <w:r w:rsidRPr="00F02975">
              <w:rPr>
                <w:rStyle w:val="color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hy-AM"/>
              </w:rPr>
              <w:t>․</w:t>
            </w:r>
            <w:r w:rsidRPr="00F02975">
              <w:rPr>
                <w:rStyle w:val="color"/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hy-AM"/>
              </w:rPr>
              <w:t>4</w:t>
            </w:r>
            <w:r>
              <w:rPr>
                <w:rStyle w:val="color"/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F02975">
              <w:rPr>
                <w:rStyle w:val="color"/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 xml:space="preserve">Քացախափոսային գավաթ ոչ ցեմենտային </w:t>
            </w:r>
          </w:p>
        </w:tc>
        <w:tc>
          <w:tcPr>
            <w:tcW w:w="5130" w:type="dxa"/>
            <w:vAlign w:val="center"/>
          </w:tcPr>
          <w:p w14:paraId="3DFFD285" w14:textId="46E50424" w:rsidR="00A031FD" w:rsidRPr="00D8300F" w:rsidRDefault="00A031FD" w:rsidP="0070761C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8300F">
              <w:rPr>
                <w:rStyle w:val="color"/>
                <w:rFonts w:ascii="Sylfaen" w:eastAsia="Times New Roman" w:hAnsi="Sylfaen"/>
                <w:color w:val="000000"/>
                <w:sz w:val="18"/>
                <w:szCs w:val="18"/>
                <w:lang w:val="hy-AM"/>
              </w:rPr>
              <w:t xml:space="preserve">Քացախափոսային գավաթ ոչ ցեմենտային - պատրաստման նյութը՝ Ti6Al4V, ծածկույթը տրաբեկուլյար տիտան՝ MWPE ներդիրները բացի կոնաձև միացումից, ամրանում են գավաթի մեջ՝ շնորհիվ հատուկ էպիցիկլոիդային համակարգի միջոցով, որը ապահովվում է պահպանում և պտտման կայունություն։ Ունի առնվազն 16 չափ` 40մմ-70մմ արտաքին տրամագծով, 3 քացախափոսային գավաթի պտուտակների անցքերի քանակով: Բոլոր կոմպոնենտները պետք է լինեն միևնույն արտադրողի կողմից արտադրված, որպեսզի ապահովվի նրանց ճշգրիտ համատեղելիությունը միմյանց հետ։ Կոմպոնենտների տեղադրման համար մրցույթը հաղթող մատակարարը մատակարարման ամբողջ ժամանակահատվածի համար անհատույց պետք է ապահովի էնդոպրոթեզավորման համար անհրաժեշտ գործիքների լրակազմով։ Հանձնելու պահին ամբողջ պիտանելիության ժամկետի առնվազն 1/2-ի առկայություն։ FDA որակի սերտիֆիկատի առկայություն ։ Մասնակիցը հայտով ներկայացնում է ապրանքը արտադրողի կողմից ներկայացվող ավտարիզացիոն նամակ ՝ երաշխիքային-լիազոր նամակ , իսկ պայմանագրի կատարման փուլում </w:t>
            </w:r>
            <w:r w:rsidRPr="00D8300F">
              <w:rPr>
                <w:rStyle w:val="color"/>
                <w:rFonts w:ascii="Sylfaen" w:eastAsia="Times New Roman" w:hAnsi="Sylfaen"/>
                <w:color w:val="000000"/>
                <w:sz w:val="18"/>
                <w:szCs w:val="18"/>
                <w:lang w:val="hy-AM"/>
              </w:rPr>
              <w:lastRenderedPageBreak/>
              <w:t>ապրանքը արտադրողի կողմից ներկայացվող ծագման սերտիֆիկատ և համապատասխանության հավաստագիր։</w:t>
            </w:r>
          </w:p>
        </w:tc>
        <w:tc>
          <w:tcPr>
            <w:tcW w:w="1143" w:type="dxa"/>
            <w:vMerge/>
          </w:tcPr>
          <w:p w14:paraId="1174BD4F" w14:textId="77777777" w:rsidR="00A031FD" w:rsidRDefault="00A031FD" w:rsidP="0070761C">
            <w:pPr>
              <w:rPr>
                <w:lang w:val="hy-AM"/>
              </w:rPr>
            </w:pPr>
          </w:p>
        </w:tc>
        <w:tc>
          <w:tcPr>
            <w:tcW w:w="1107" w:type="dxa"/>
            <w:vMerge/>
          </w:tcPr>
          <w:p w14:paraId="1A3C1CCC" w14:textId="64E71DF2" w:rsidR="00A031FD" w:rsidRDefault="00A031FD" w:rsidP="0070761C">
            <w:pPr>
              <w:rPr>
                <w:lang w:val="hy-AM"/>
              </w:rPr>
            </w:pPr>
          </w:p>
        </w:tc>
      </w:tr>
      <w:tr w:rsidR="00A031FD" w:rsidRPr="00A260C7" w14:paraId="1773379B" w14:textId="77777777" w:rsidTr="00283023">
        <w:tc>
          <w:tcPr>
            <w:tcW w:w="3387" w:type="dxa"/>
            <w:vMerge/>
          </w:tcPr>
          <w:p w14:paraId="474D12C1" w14:textId="77777777" w:rsidR="00A031FD" w:rsidRDefault="00A031FD" w:rsidP="0070761C">
            <w:pPr>
              <w:rPr>
                <w:lang w:val="hy-AM"/>
              </w:rPr>
            </w:pPr>
          </w:p>
        </w:tc>
        <w:tc>
          <w:tcPr>
            <w:tcW w:w="1923" w:type="dxa"/>
            <w:vMerge/>
          </w:tcPr>
          <w:p w14:paraId="72D5532C" w14:textId="77777777" w:rsidR="00A031FD" w:rsidRDefault="00A031FD" w:rsidP="0070761C">
            <w:pPr>
              <w:rPr>
                <w:lang w:val="hy-AM"/>
              </w:rPr>
            </w:pPr>
          </w:p>
        </w:tc>
        <w:tc>
          <w:tcPr>
            <w:tcW w:w="2250" w:type="dxa"/>
            <w:vAlign w:val="center"/>
          </w:tcPr>
          <w:p w14:paraId="7CE4AFC0" w14:textId="405C18D5" w:rsidR="00A031FD" w:rsidRPr="00F02975" w:rsidRDefault="00A031FD" w:rsidP="0070761C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F02975">
              <w:rPr>
                <w:rStyle w:val="color"/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hy-AM"/>
              </w:rPr>
              <w:t>2</w:t>
            </w:r>
            <w:r w:rsidRPr="00F02975">
              <w:rPr>
                <w:rStyle w:val="color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hy-AM"/>
              </w:rPr>
              <w:t>․</w:t>
            </w:r>
            <w:r w:rsidRPr="00F02975">
              <w:rPr>
                <w:rStyle w:val="color"/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hy-AM"/>
              </w:rPr>
              <w:t>5</w:t>
            </w:r>
            <w:r>
              <w:rPr>
                <w:rStyle w:val="color"/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F02975">
              <w:rPr>
                <w:rStyle w:val="color"/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Քացախափոսային գավաթի պտուտակներ</w:t>
            </w:r>
          </w:p>
        </w:tc>
        <w:tc>
          <w:tcPr>
            <w:tcW w:w="5130" w:type="dxa"/>
            <w:vAlign w:val="center"/>
          </w:tcPr>
          <w:p w14:paraId="6C3740D3" w14:textId="5ADCB2B1" w:rsidR="00A031FD" w:rsidRPr="00D8300F" w:rsidRDefault="00A031FD" w:rsidP="0070761C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8300F">
              <w:rPr>
                <w:rStyle w:val="color"/>
                <w:rFonts w:ascii="Sylfaen" w:eastAsia="Times New Roman" w:hAnsi="Sylfaen"/>
                <w:color w:val="000000"/>
                <w:sz w:val="18"/>
                <w:szCs w:val="18"/>
                <w:lang w:val="hy-AM"/>
              </w:rPr>
              <w:t>Քացախափոսային գավաթի պտուտակներ, պատրաստման նյութը՝ Ti6Al4V, ունի առնվազն 8 չափ` 6,5x15մմ, 6.5x20մմ, 6.5x25մմ, 6.5x30մմ, 6.5x35մմ, 6.5x40մմ, 6.5x45մմ, 6.5x50մմ։ Բոլոր կոմպոնենտները պետք է լինեն միևնույն արտադրողի կողմից արտադրված, որպեսզի ապահովվի նրանց ճշգրիտ համատեղելիությունը միմյանց հետ։ Կոմպոնենտների տեղադրման համար մրցույթը հաղթող մատակարարը մատակարարման ամբողջ ժամանակահատվածի համար անհատույց պետք է ապահովի էնդոպրոթեզավորման համար անհրաժեշտ գործիքների լրակազմով։ Հանձնելու պահին ամբողջ պիտանելիության ժամկետի առնվազն 1/2-ի առկայություն։ FDA որակի սերտիֆիկատի առկայություն ։ Մասնակիցը հայտով ներկայացնում է ապրանքը արտադրողի կողմից ներկայացվող ավտարիզացիոն նամակ ՝ երաշխիքային-լիազոր նամակ , իսկ պայմանագրի կատարման փուլում ապրանքը արտադրողի կողմից ներկայացվող ծագման սերտիֆիկատ և համապատասխանության հավաստագիր։</w:t>
            </w:r>
          </w:p>
        </w:tc>
        <w:tc>
          <w:tcPr>
            <w:tcW w:w="1143" w:type="dxa"/>
            <w:vMerge/>
          </w:tcPr>
          <w:p w14:paraId="01517881" w14:textId="77777777" w:rsidR="00A031FD" w:rsidRDefault="00A031FD" w:rsidP="0070761C">
            <w:pPr>
              <w:rPr>
                <w:lang w:val="hy-AM"/>
              </w:rPr>
            </w:pPr>
          </w:p>
        </w:tc>
        <w:tc>
          <w:tcPr>
            <w:tcW w:w="1107" w:type="dxa"/>
            <w:vMerge/>
          </w:tcPr>
          <w:p w14:paraId="1EBEC408" w14:textId="468F44DC" w:rsidR="00A031FD" w:rsidRDefault="00A031FD" w:rsidP="0070761C">
            <w:pPr>
              <w:rPr>
                <w:lang w:val="hy-AM"/>
              </w:rPr>
            </w:pPr>
          </w:p>
        </w:tc>
      </w:tr>
    </w:tbl>
    <w:p w14:paraId="35A0C075" w14:textId="77777777" w:rsidR="0070761C" w:rsidRPr="0070761C" w:rsidRDefault="0070761C">
      <w:pPr>
        <w:rPr>
          <w:lang w:val="hy-AM"/>
        </w:rPr>
      </w:pPr>
    </w:p>
    <w:sectPr w:rsidR="0070761C" w:rsidRPr="007076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61C"/>
    <w:rsid w:val="00283023"/>
    <w:rsid w:val="002E32B4"/>
    <w:rsid w:val="0070761C"/>
    <w:rsid w:val="008C66B8"/>
    <w:rsid w:val="00914F00"/>
    <w:rsid w:val="009C25CF"/>
    <w:rsid w:val="009F1A9D"/>
    <w:rsid w:val="00A031FD"/>
    <w:rsid w:val="00A260C7"/>
    <w:rsid w:val="00D8300F"/>
    <w:rsid w:val="00F02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EACE6"/>
  <w15:chartTrackingRefBased/>
  <w15:docId w15:val="{D9A4088D-A8FF-4531-839A-EA92E759C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7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or">
    <w:name w:val="color"/>
    <w:basedOn w:val="DefaultParagraphFont"/>
    <w:rsid w:val="007076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693FC-34E9-4955-80C9-52D52113C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1666</Words>
  <Characters>9502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2026-06-04T11:55:00Z</dcterms:created>
  <dcterms:modified xsi:type="dcterms:W3CDTF">2026-06-08T09:40:00Z</dcterms:modified>
</cp:coreProperties>
</file>